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i w:val="1"/>
          <w:iCs w:val="1"/>
          <w:color w:val="000000"/>
          <w:sz w:val="34"/>
          <w:szCs w:val="34"/>
        </w:rPr>
      </w:pPr>
      <w:r w:rsidDel="00000000" w:rsidR="00000000" w:rsidRPr="00000000">
        <w:rPr>
          <w:rFonts w:ascii="Arial" w:cs="Arial" w:eastAsia="Arial" w:hAnsi="Arial"/>
          <w:i w:val="1"/>
          <w:iCs w:val="1"/>
          <w:color w:val="000000"/>
          <w:sz w:val="34"/>
          <w:szCs w:val="34"/>
          <w:rtl w:val="0"/>
        </w:rPr>
        <w:t xml:space="preserve">Subsecretaría de Emergencias.</w:t>
      </w:r>
    </w:p>
    <w:p w:rsidR="00000000" w:rsidDel="00000000" w:rsidP="00000000" w:rsidRDefault="00000000" w:rsidRPr="00000000" w14:paraId="00000002">
      <w:pPr>
        <w:spacing w:after="0" w:line="480"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3">
      <w:pPr>
        <w:pStyle w:val="Heading1"/>
        <w:spacing w:after="280" w:before="2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Jornada de registro documental de emergencias. </w:t>
      </w:r>
    </w:p>
    <w:p w:rsidR="00000000" w:rsidDel="00000000" w:rsidP="00000000" w:rsidRDefault="00000000" w:rsidRPr="00000000" w14:paraId="00000004">
      <w:pPr>
        <w:pStyle w:val="Heading1"/>
        <w:spacing w:after="280" w:before="2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05">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6">
      <w:pP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Esta jornada es importante realizarla ya que</w:t>
      </w:r>
      <w:r w:rsidDel="00000000" w:rsidR="00000000" w:rsidRPr="00000000">
        <w:rPr>
          <w:rFonts w:ascii="Arial" w:cs="Arial" w:eastAsia="Arial" w:hAnsi="Arial"/>
          <w:rtl w:val="0"/>
        </w:rPr>
        <w:t xml:space="preserve"> el registro documental en la gestión de emergencias es un pilar fundamental para la toma de decisiones y la mejora continua, la gestión de emergencias es un proceso complejo que involucra múltiples actores y una amplia gama de actividades. Para garantizar una respuesta eficaz y oportuna, es fundamental contar con un sistema de registro documental sólido y confiable. Este sistema permite capturar, almacenar y analizar la información generada durante todo el ciclo de gestión de una emergencia, desde la fase de planificación hasta la recuperación. ¿Por qué es importante el registro documental en emergencias? Sirve como base para la toma de decisiones: los datos registrados proporcionan una visión clara y actualizada de la situación, permitiendo a los tomadores de decisiones evaluar la magnitud del evento, identificar las necesidades de la población afectada y asignar los recursos de manera eficiente. Por otra parte, mejora de la coordinación: un sistema de registro documental facilita la comunicación y la colaboración entre los diferentes actores involucrados en la respuesta a la emergencia, asegurando que todos trabajen de manera coordinada y con un objetivo común. Sumado a ello, sobre la evaluación y aprendizaje: los datos registrados permiten evaluar la efectividad de las acciones llevadas a cabo durante la emergencia, identificar las áreas de mejora y aprender de las experiencias pasadas para mejorar la respuesta en futuras emergencias. Es por estos motivos, que se considera de vital importancia desde la Dirección Provincial de Defensa Civil el capacitar a los diferentes actores involucrados en la temática.</w:t>
      </w:r>
    </w:p>
    <w:p w:rsidR="00000000" w:rsidDel="00000000" w:rsidP="00000000" w:rsidRDefault="00000000" w:rsidRPr="00000000" w14:paraId="00000007">
      <w:pPr>
        <w:tabs>
          <w:tab w:val="left" w:leader="none" w:pos="426"/>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426"/>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Destinatarios: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de las instituciones que forman el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istema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rovincial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mergencias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ocal (bomberos, policía, salud, asistencia social, inspectores municipales y ONG vinculadas).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Presencial y/o virtual.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horas reloj, equivalentes a 4,5 horas cátedra.</w:t>
      </w:r>
    </w:p>
    <w:p w:rsidR="00000000" w:rsidDel="00000000" w:rsidP="00000000" w:rsidRDefault="00000000" w:rsidRPr="00000000" w14:paraId="0000000E">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bookmarkStart w:colFirst="0" w:colLast="0" w:name="_heading=h.209xj7n43ha" w:id="0"/>
      <w:bookmarkEnd w:id="0"/>
      <w:r w:rsidDel="00000000" w:rsidR="00000000" w:rsidRPr="00000000">
        <w:rPr>
          <w:rFonts w:ascii="Arial" w:cs="Arial" w:eastAsia="Arial" w:hAnsi="Arial"/>
          <w:rtl w:val="0"/>
        </w:rPr>
        <w:t xml:space="preserve">3 ediciones.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Fonts w:ascii="Arial" w:cs="Arial" w:eastAsia="Arial" w:hAnsi="Arial"/>
          <w:rtl w:val="0"/>
        </w:rPr>
        <w:t xml:space="preserve">Se realizarán en los meses de: marzo, septiembre y diciembre.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por edición.</w:t>
      </w:r>
    </w:p>
    <w:p w:rsidR="00000000" w:rsidDel="00000000" w:rsidP="00000000" w:rsidRDefault="00000000" w:rsidRPr="00000000" w14:paraId="00000014">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Teléfono institucional: </w:t>
      </w:r>
      <w:r w:rsidDel="00000000" w:rsidR="00000000" w:rsidRPr="00000000">
        <w:rPr>
          <w:rFonts w:ascii="Arial" w:cs="Arial" w:eastAsia="Arial" w:hAnsi="Arial"/>
          <w:color w:val="000000"/>
          <w:rtl w:val="0"/>
        </w:rPr>
        <w:t xml:space="preserve">(0221) 451-2002 int. 101/102; correo electrónico</w:t>
      </w:r>
      <w:r w:rsidDel="00000000" w:rsidR="00000000" w:rsidRPr="00000000">
        <w:rPr>
          <w:rFonts w:ascii="Arial" w:cs="Arial" w:eastAsia="Arial" w:hAnsi="Arial"/>
          <w:color w:val="5e5e5e"/>
          <w:rtl w:val="0"/>
        </w:rPr>
        <w:t xml:space="preserve"> </w:t>
      </w:r>
      <w:hyperlink r:id="rId7">
        <w:r w:rsidDel="00000000" w:rsidR="00000000" w:rsidRPr="00000000">
          <w:rPr>
            <w:rFonts w:ascii="Arial" w:cs="Arial" w:eastAsia="Arial" w:hAnsi="Arial"/>
            <w:color w:val="0000ff"/>
            <w:u w:val="single"/>
            <w:rtl w:val="0"/>
          </w:rPr>
          <w:t xml:space="preserve">cursosfortalecimiento.dgdc@gmail.com</w:t>
        </w:r>
      </w:hyperlink>
      <w:r w:rsidDel="00000000" w:rsidR="00000000" w:rsidRPr="00000000">
        <w:rPr>
          <w:rFonts w:ascii="Arial" w:cs="Arial" w:eastAsia="Arial" w:hAnsi="Arial"/>
          <w:color w:val="0000ff"/>
          <w:u w:val="single"/>
          <w:rtl w:val="0"/>
        </w:rPr>
        <w:t xml:space="preserve">.</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415078"/>
    <w:pPr>
      <w:ind w:left="720"/>
      <w:contextualSpacing w:val="1"/>
    </w:pPr>
    <w:rPr>
      <w:rFonts w:ascii="Calibri" w:cs="Calibri" w:eastAsia="Calibri" w:hAnsi="Calibri"/>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rsosfortalecimiento.dgd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JFrNeR6zJXFJQcxvlhSJlHojQ==">CgMxLjAyDWguMjA5eGo3bjQzaGE4AHIhMWFyeVM5Z3lfTHoyT20zRHBMLTBDOW1HUUN3QWxidGNL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2026-02-12T13:39:00Z</dcterms:created>
  <dc:creator>Lau FERRARI</dc:creator>
</cp:coreProperties>
</file>